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A56A2" w:rsidRPr="003907D5" w14:paraId="0ADAC5FF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C5FA" w14:textId="30FFF483" w:rsidR="000A56A2" w:rsidRPr="001D4E92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1D4E92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580CA4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1D4E92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0ADAC5FB" w14:textId="77777777" w:rsidR="004F7513" w:rsidRPr="001D4E92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0ADAC5FC" w14:textId="439FD822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CD6310">
              <w:rPr>
                <w:rFonts w:ascii="Open Sans" w:hAnsi="Open Sans" w:cs="Open Sans"/>
                <w:b/>
                <w:caps/>
                <w:sz w:val="28"/>
                <w:lang w:val="en-US"/>
              </w:rPr>
              <w:t>METAL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580CA4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0ADAC5FD" w14:textId="50154C9F" w:rsidR="004F7513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TOLES </w:t>
            </w:r>
            <w:r w:rsidR="00580CA4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546BF6">
              <w:rPr>
                <w:rFonts w:ascii="Open Sans" w:hAnsi="Open Sans" w:cs="Open Sans"/>
                <w:b/>
                <w:caps/>
                <w:sz w:val="28"/>
                <w:lang w:val="en-US"/>
              </w:rPr>
              <w:t>VERTIC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ALES</w:t>
            </w:r>
            <w:r w:rsidR="00612E5E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ET ACCESSOIRES DECORATIFS</w:t>
            </w:r>
          </w:p>
          <w:p w14:paraId="0ADAC5FE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0ADAC600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0ADAC601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0ADAC602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0ADAC603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0ADAC604" w14:textId="62A5EA3E" w:rsidR="00612E5E" w:rsidRDefault="001D4E92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système à tôles verticales </w:t>
      </w:r>
      <w:r w:rsidR="00580CA4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et à accessoires décoratif est conforme </w:t>
      </w:r>
      <w:r w:rsidR="00612E5E">
        <w:rPr>
          <w:rFonts w:ascii="Open Sans" w:hAnsi="Open Sans" w:cs="Open Sans"/>
          <w:sz w:val="20"/>
          <w:szCs w:val="20"/>
        </w:rPr>
        <w:t>:</w:t>
      </w:r>
    </w:p>
    <w:p w14:paraId="0ADAC605" w14:textId="77777777" w:rsidR="00CD6310" w:rsidRDefault="00CD6310" w:rsidP="00612E5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aux règles RAGE pour la conception et la mise en œuvre du bardage métallique en acier et</w:t>
      </w:r>
      <w:r w:rsidR="00612E5E">
        <w:rPr>
          <w:rFonts w:ascii="Open Sans" w:hAnsi="Open Sans" w:cs="Open Sans"/>
          <w:sz w:val="20"/>
          <w:szCs w:val="20"/>
        </w:rPr>
        <w:t xml:space="preserve"> acier inoxydable, juillet 2014</w:t>
      </w:r>
    </w:p>
    <w:p w14:paraId="0ADAC606" w14:textId="1A7E126D" w:rsidR="00612E5E" w:rsidRPr="006E1643" w:rsidRDefault="00612E5E" w:rsidP="00612E5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 xml:space="preserve">α-Contrôle « les solutions </w:t>
      </w:r>
      <w:proofErr w:type="spellStart"/>
      <w:r>
        <w:rPr>
          <w:rFonts w:ascii="Open Sans" w:hAnsi="Open Sans" w:cs="Open Sans"/>
          <w:sz w:val="20"/>
          <w:szCs w:val="20"/>
        </w:rPr>
        <w:t>Bacacier</w:t>
      </w:r>
      <w:proofErr w:type="spellEnd"/>
      <w:r>
        <w:rPr>
          <w:rFonts w:ascii="Open Sans" w:hAnsi="Open Sans" w:cs="Open Sans"/>
          <w:sz w:val="20"/>
          <w:szCs w:val="20"/>
        </w:rPr>
        <w:t xml:space="preserve"> 3S : Procédé de bardage à éléments rapportés interchangeables et indépendants »</w:t>
      </w:r>
    </w:p>
    <w:p w14:paraId="0ADAC607" w14:textId="19012F9A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Le système ITE à ossature métallique est conforme au cahier CSTB 3194</w:t>
      </w:r>
      <w:r w:rsidR="009500E7">
        <w:rPr>
          <w:rFonts w:ascii="Open Sans" w:hAnsi="Open Sans" w:cs="Open Sans"/>
          <w:sz w:val="20"/>
          <w:szCs w:val="20"/>
        </w:rPr>
        <w:t xml:space="preserve"> V2</w:t>
      </w:r>
      <w:r w:rsidRPr="006E1643">
        <w:rPr>
          <w:szCs w:val="18"/>
        </w:rPr>
        <w:t xml:space="preserve">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0ADAC608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ADAC609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0ADAC60A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A280138" w14:textId="3A1DDAE1" w:rsidR="002B532B" w:rsidRDefault="00C148ED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 xml:space="preserve">sur système ITE à ossature </w:t>
      </w:r>
      <w:r w:rsidR="00CD6310">
        <w:rPr>
          <w:rFonts w:ascii="Open Sans" w:hAnsi="Open Sans" w:cs="Open Sans"/>
          <w:sz w:val="20"/>
          <w:szCs w:val="20"/>
        </w:rPr>
        <w:t>métallique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612E5E">
        <w:rPr>
          <w:rFonts w:ascii="Open Sans" w:hAnsi="Open Sans" w:cs="Open Sans"/>
          <w:sz w:val="20"/>
          <w:szCs w:val="20"/>
        </w:rPr>
        <w:t xml:space="preserve">à peau extérieure constituée de tôles d’acier profilées et embouties </w:t>
      </w:r>
      <w:r w:rsidR="00580CA4">
        <w:rPr>
          <w:rFonts w:ascii="Open Sans" w:hAnsi="Open Sans" w:cs="Open Sans"/>
          <w:sz w:val="20"/>
          <w:szCs w:val="20"/>
        </w:rPr>
        <w:t>ATELIERS</w:t>
      </w:r>
      <w:r w:rsidR="00612E5E">
        <w:rPr>
          <w:rFonts w:ascii="Open Sans" w:hAnsi="Open Sans" w:cs="Open Sans"/>
          <w:sz w:val="20"/>
          <w:szCs w:val="20"/>
        </w:rPr>
        <w:t xml:space="preserve"> 3S </w:t>
      </w:r>
      <w:r w:rsidR="00612E5E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612E5E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</w:t>
      </w:r>
      <w:r w:rsidR="002B532B" w:rsidRPr="002B532B">
        <w:rPr>
          <w:rFonts w:ascii="Open Sans" w:hAnsi="Open Sans" w:cs="Open Sans"/>
          <w:sz w:val="20"/>
          <w:szCs w:val="20"/>
          <w:highlight w:val="lightGray"/>
        </w:rPr>
        <w:t> :</w:t>
      </w:r>
    </w:p>
    <w:p w14:paraId="3B391F55" w14:textId="5CCBDDFE" w:rsidR="002B532B" w:rsidRDefault="002B532B" w:rsidP="00847124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 7022 COQUILLE</w:t>
      </w:r>
      <w:r w:rsidR="0028294E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8294E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1973CD48" w14:textId="2054BA00" w:rsidR="002B532B" w:rsidRDefault="002B532B" w:rsidP="002B532B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CUIVRE, GRANITE, QUARTZ, CHROME ou RAL </w:t>
      </w:r>
    </w:p>
    <w:p w14:paraId="0A970EFD" w14:textId="77777777" w:rsidR="002B532B" w:rsidRDefault="002B532B" w:rsidP="002B532B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ADAC60B" w14:textId="25FFF77C" w:rsidR="00CD6310" w:rsidRPr="004B63DD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BB364B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verticalement et solidarisée</w:t>
      </w:r>
      <w:r w:rsidR="00993FD0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à la paroi support </w:t>
      </w:r>
      <w:r w:rsidRPr="006E1643">
        <w:rPr>
          <w:rFonts w:ascii="Open Sans" w:hAnsi="Open Sans" w:cs="Open Sans"/>
          <w:sz w:val="20"/>
          <w:szCs w:val="20"/>
        </w:rPr>
        <w:t xml:space="preserve">(ITE à </w:t>
      </w:r>
      <w:r>
        <w:rPr>
          <w:rFonts w:ascii="Open Sans" w:hAnsi="Open Sans" w:cs="Open Sans"/>
          <w:sz w:val="20"/>
          <w:szCs w:val="20"/>
        </w:rPr>
        <w:t>ossature métallique double réseau</w:t>
      </w:r>
      <w:r w:rsidRPr="004B63DD">
        <w:rPr>
          <w:rFonts w:ascii="Open Sans" w:hAnsi="Open Sans" w:cs="Open Sans"/>
          <w:sz w:val="20"/>
          <w:szCs w:val="20"/>
        </w:rPr>
        <w:t xml:space="preserve">) porteuse par </w:t>
      </w:r>
      <w:r w:rsidR="00612E5E">
        <w:rPr>
          <w:rFonts w:ascii="Open Sans" w:hAnsi="Open Sans" w:cs="Open Sans"/>
          <w:sz w:val="20"/>
          <w:szCs w:val="20"/>
        </w:rPr>
        <w:t>vis V3S FIXO 5.5x25</w:t>
      </w:r>
      <w:r w:rsidRPr="004B63DD">
        <w:rPr>
          <w:rFonts w:ascii="Open Sans" w:hAnsi="Open Sans" w:cs="Open Sans"/>
          <w:sz w:val="20"/>
          <w:szCs w:val="20"/>
        </w:rPr>
        <w:t xml:space="preserve">. </w:t>
      </w:r>
      <w:r w:rsidR="00612E5E">
        <w:rPr>
          <w:rFonts w:ascii="Open Sans" w:hAnsi="Open Sans" w:cs="Open Sans"/>
          <w:sz w:val="20"/>
          <w:szCs w:val="20"/>
        </w:rPr>
        <w:t xml:space="preserve">Les tôles </w:t>
      </w:r>
      <w:r w:rsidR="00847124">
        <w:rPr>
          <w:rFonts w:ascii="Open Sans" w:hAnsi="Open Sans" w:cs="Open Sans"/>
          <w:sz w:val="20"/>
          <w:szCs w:val="20"/>
        </w:rPr>
        <w:t>ATELIERS</w:t>
      </w:r>
      <w:r w:rsidR="00612E5E"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 w:rsidR="00612E5E">
        <w:rPr>
          <w:rFonts w:ascii="Open Sans" w:hAnsi="Open Sans" w:cs="Open Sans"/>
          <w:sz w:val="20"/>
          <w:szCs w:val="20"/>
          <w:highlight w:val="lightGray"/>
        </w:rPr>
        <w:t>CASSETTE 3S</w:t>
      </w:r>
      <w:r w:rsidR="00612E5E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612E5E">
        <w:rPr>
          <w:rFonts w:ascii="Open Sans" w:hAnsi="Open Sans" w:cs="Open Sans"/>
          <w:sz w:val="20"/>
          <w:szCs w:val="20"/>
          <w:highlight w:val="lightGray"/>
        </w:rPr>
        <w:t>1M / CASSETTE 3S</w:t>
      </w:r>
      <w:r w:rsidR="00612E5E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612E5E"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 w:rsidR="00612E5E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612E5E"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 w:rsidR="00612E5E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612E5E">
        <w:rPr>
          <w:rFonts w:ascii="Open Sans" w:hAnsi="Open Sans" w:cs="Open Sans"/>
          <w:sz w:val="20"/>
          <w:szCs w:val="20"/>
        </w:rPr>
        <w:t>, fixés à l’aide d’écrous V3S GEMELLO</w:t>
      </w:r>
      <w:r w:rsidR="00612E5E">
        <w:rPr>
          <w:rFonts w:ascii="Open Sans" w:hAnsi="Open Sans" w:cs="Open Sans"/>
          <w:sz w:val="20"/>
          <w:szCs w:val="20"/>
          <w:vertAlign w:val="superscript"/>
        </w:rPr>
        <w:t>®</w:t>
      </w:r>
      <w:r w:rsidR="00612E5E">
        <w:rPr>
          <w:rFonts w:ascii="Open Sans" w:hAnsi="Open Sans" w:cs="Open Sans"/>
          <w:sz w:val="20"/>
          <w:szCs w:val="20"/>
        </w:rPr>
        <w:t xml:space="preserve">, sur les fixations V3S FIXO 5.5x25 et de coloris </w:t>
      </w:r>
      <w:r w:rsidR="00612E5E"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 w:rsidR="00612E5E">
        <w:rPr>
          <w:rFonts w:ascii="Open Sans" w:hAnsi="Open Sans" w:cs="Open Sans"/>
          <w:sz w:val="20"/>
          <w:szCs w:val="20"/>
        </w:rPr>
        <w:t xml:space="preserve"> </w:t>
      </w:r>
      <w:r w:rsidRPr="004B63DD">
        <w:rPr>
          <w:rFonts w:ascii="Open Sans" w:hAnsi="Open Sans" w:cs="Open Sans"/>
          <w:sz w:val="20"/>
          <w:szCs w:val="20"/>
        </w:rPr>
        <w:t>Y compris le traitement des sujétions et finition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>.</w:t>
      </w:r>
    </w:p>
    <w:p w14:paraId="0ADAC60C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ADAC60D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0ADAC60E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0ADAC60F" w14:textId="3829DBC2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procédé de bardage </w:t>
      </w:r>
      <w:r w:rsidR="00612E5E">
        <w:rPr>
          <w:rFonts w:ascii="Open Sans" w:hAnsi="Open Sans" w:cs="Open Sans"/>
          <w:sz w:val="20"/>
          <w:szCs w:val="20"/>
        </w:rPr>
        <w:t xml:space="preserve">à éléments rapportés interchangeables et indépendants de chez </w:t>
      </w:r>
      <w:r w:rsidR="00D704D5">
        <w:rPr>
          <w:rFonts w:ascii="Open Sans" w:hAnsi="Open Sans" w:cs="Open Sans"/>
          <w:sz w:val="20"/>
          <w:szCs w:val="20"/>
        </w:rPr>
        <w:t>A</w:t>
      </w:r>
      <w:r w:rsidR="00C8371B">
        <w:rPr>
          <w:rFonts w:ascii="Open Sans" w:hAnsi="Open Sans" w:cs="Open Sans"/>
          <w:sz w:val="20"/>
          <w:szCs w:val="20"/>
        </w:rPr>
        <w:t>TELIERS</w:t>
      </w:r>
      <w:r w:rsidR="00612E5E">
        <w:rPr>
          <w:rFonts w:ascii="Open Sans" w:hAnsi="Open Sans" w:cs="Open Sans"/>
          <w:sz w:val="20"/>
          <w:szCs w:val="20"/>
        </w:rPr>
        <w:t xml:space="preserve"> 3S </w:t>
      </w:r>
      <w:r w:rsidRPr="006E1643">
        <w:rPr>
          <w:rFonts w:ascii="Open Sans" w:hAnsi="Open Sans" w:cs="Open Sans"/>
          <w:sz w:val="20"/>
          <w:szCs w:val="20"/>
        </w:rPr>
        <w:t xml:space="preserve">sur système ITE à ossature </w:t>
      </w:r>
      <w:r w:rsidR="00CD6310">
        <w:rPr>
          <w:rFonts w:ascii="Open Sans" w:hAnsi="Open Sans" w:cs="Open Sans"/>
          <w:sz w:val="20"/>
          <w:szCs w:val="20"/>
        </w:rPr>
        <w:t xml:space="preserve">métallique </w:t>
      </w:r>
      <w:r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0ADAC610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0ADAC611" w14:textId="1EEFC511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métallique ITE</w:t>
      </w:r>
      <w:r>
        <w:rPr>
          <w:rFonts w:ascii="Open Sans" w:hAnsi="Open Sans" w:cs="Open Sans"/>
          <w:sz w:val="20"/>
          <w:szCs w:val="20"/>
        </w:rPr>
        <w:t xml:space="preserve"> double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Pattes équerres / Ossatures filantes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 et horizontales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…)</w:t>
      </w:r>
      <w:r w:rsidRPr="006E1643">
        <w:rPr>
          <w:rFonts w:ascii="Open Sans" w:hAnsi="Open Sans" w:cs="Open Sans"/>
          <w:sz w:val="20"/>
          <w:szCs w:val="20"/>
        </w:rPr>
        <w:t xml:space="preserve"> 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et  conforme au cahier CSTB 3194</w:t>
      </w:r>
      <w:r w:rsidR="00B90839">
        <w:rPr>
          <w:rFonts w:ascii="Open Sans" w:hAnsi="Open Sans" w:cs="Open Sans"/>
          <w:sz w:val="20"/>
          <w:szCs w:val="20"/>
        </w:rPr>
        <w:t xml:space="preserve"> V2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0ADAC612" w14:textId="6F67DE36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 xml:space="preserve"> 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3194</w:t>
      </w:r>
      <w:r w:rsidRPr="006E1643">
        <w:rPr>
          <w:rFonts w:ascii="Open Sans" w:hAnsi="Open Sans" w:cs="Open Sans"/>
          <w:sz w:val="20"/>
          <w:szCs w:val="18"/>
        </w:rPr>
        <w:t xml:space="preserve"> </w:t>
      </w:r>
      <w:r w:rsidR="00007826">
        <w:rPr>
          <w:rFonts w:ascii="Open Sans" w:hAnsi="Open Sans" w:cs="Open Sans"/>
          <w:sz w:val="20"/>
          <w:szCs w:val="18"/>
        </w:rPr>
        <w:t xml:space="preserve">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469608EB" w14:textId="195DFCF8" w:rsidR="00DA0AED" w:rsidRDefault="00612E5E" w:rsidP="00976F5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</w:t>
      </w:r>
      <w:r w:rsidR="00DA0AED">
        <w:rPr>
          <w:rFonts w:ascii="Open Sans" w:hAnsi="Open Sans" w:cs="Open Sans"/>
          <w:sz w:val="20"/>
          <w:szCs w:val="20"/>
        </w:rPr>
        <w:t xml:space="preserve"> profilées et embouties ATELIERS 3S </w:t>
      </w:r>
      <w:r w:rsidR="00DA0AED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DA0AED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04E1080D" w14:textId="3FC7E4AB" w:rsidR="00DA0AED" w:rsidRDefault="00DA0AED" w:rsidP="00DA0AED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 7022 COQUILLE</w:t>
      </w:r>
      <w:r w:rsidR="0028294E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8294E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47FE84AF" w14:textId="77777777" w:rsidR="00DA0AED" w:rsidRDefault="00DA0AED" w:rsidP="00DA0AED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GOLD, CUIVRE, GRANITE, QUARTZ, CHROME ou RAL </w:t>
      </w:r>
    </w:p>
    <w:p w14:paraId="3E0E0844" w14:textId="77777777" w:rsidR="00976F55" w:rsidRDefault="00DA0AED" w:rsidP="00DA0AED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ADAC613" w14:textId="081C3AF2" w:rsidR="00612E5E" w:rsidRPr="00DA0AED" w:rsidRDefault="00612E5E" w:rsidP="00DA0AED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>posée(s) verticalement selon l’ETN</w:t>
      </w:r>
      <w:r w:rsidR="00DA0AED">
        <w:rPr>
          <w:rFonts w:ascii="Open Sans" w:hAnsi="Open Sans" w:cs="Open Sans"/>
          <w:sz w:val="20"/>
          <w:szCs w:val="20"/>
        </w:rPr>
        <w:t xml:space="preserve"> </w:t>
      </w:r>
      <w:r w:rsidR="005D33F1">
        <w:rPr>
          <w:rFonts w:ascii="Open Sans" w:hAnsi="Open Sans" w:cs="Open Sans"/>
          <w:sz w:val="20"/>
          <w:szCs w:val="20"/>
        </w:rPr>
        <w:t>du procédé</w:t>
      </w:r>
    </w:p>
    <w:p w14:paraId="0ADAC614" w14:textId="401AC926" w:rsidR="00612E5E" w:rsidRDefault="00612E5E" w:rsidP="00612E5E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5D33F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FIXO 5.5x25mm de mise en œuvre et densité minimale selon l’ETN du procédé </w:t>
      </w:r>
    </w:p>
    <w:p w14:paraId="0ADAC615" w14:textId="0ECCADB6" w:rsidR="00612E5E" w:rsidRDefault="00612E5E" w:rsidP="00612E5E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bardages </w:t>
      </w:r>
      <w:r w:rsidR="005D33F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à l’aide d</w:t>
      </w:r>
      <w:r>
        <w:rPr>
          <w:rFonts w:ascii="Open Sans" w:hAnsi="Open Sans" w:cs="Open Sans"/>
          <w:strike/>
          <w:color w:val="FF0000"/>
          <w:sz w:val="20"/>
          <w:szCs w:val="20"/>
        </w:rPr>
        <w:t>’</w:t>
      </w:r>
      <w:r>
        <w:rPr>
          <w:rFonts w:ascii="Open Sans" w:hAnsi="Open Sans" w:cs="Open Sans"/>
          <w:sz w:val="20"/>
          <w:szCs w:val="20"/>
        </w:rPr>
        <w:t xml:space="preserve">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 w:rsidR="00442AC7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442AC7">
        <w:rPr>
          <w:rFonts w:ascii="Open Sans" w:hAnsi="Open Sans" w:cs="Open Sans"/>
          <w:sz w:val="20"/>
          <w:szCs w:val="20"/>
          <w:highlight w:val="lightGray"/>
        </w:rPr>
        <w:t xml:space="preserve"> 2</w:t>
      </w:r>
      <w:r>
        <w:rPr>
          <w:rFonts w:ascii="Open Sans" w:hAnsi="Open Sans" w:cs="Open Sans"/>
          <w:sz w:val="20"/>
          <w:szCs w:val="20"/>
          <w:highlight w:val="lightGray"/>
        </w:rPr>
        <w:t>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0ADAC616" w14:textId="77777777" w:rsidR="00612E5E" w:rsidRDefault="00612E5E" w:rsidP="003D4AF6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postlaqué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RAL XXX </w:t>
      </w:r>
    </w:p>
    <w:p w14:paraId="0ADAC617" w14:textId="77777777" w:rsidR="00612E5E" w:rsidRDefault="00612E5E" w:rsidP="003D4AF6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0ADAC618" w14:textId="77777777" w:rsidR="00612E5E" w:rsidRDefault="00612E5E" w:rsidP="003D4AF6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0ADAC619" w14:textId="77777777" w:rsidR="00612E5E" w:rsidRDefault="00612E5E" w:rsidP="003D4AF6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Aluminium 5005, ép. = 1,5mm,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postlaqué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0ADAC61A" w14:textId="77777777" w:rsidR="00612E5E" w:rsidRDefault="00612E5E" w:rsidP="00612E5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en cours de validité </w:t>
      </w:r>
    </w:p>
    <w:p w14:paraId="0ADAC61B" w14:textId="341E68EB" w:rsidR="00612E5E" w:rsidRDefault="00612E5E" w:rsidP="00612E5E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E22F0A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>sur les fixations V3S FIXO 5.5x25mm de coloris 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>
        <w:rPr>
          <w:rFonts w:ascii="Open Sans" w:hAnsi="Open Sans" w:cs="Open Sans"/>
          <w:sz w:val="20"/>
          <w:szCs w:val="20"/>
        </w:rPr>
        <w:t xml:space="preserve"> , mis en œuvre selon l’ETN</w:t>
      </w:r>
      <w:r w:rsidR="00E22F0A">
        <w:rPr>
          <w:rFonts w:ascii="Open Sans" w:hAnsi="Open Sans" w:cs="Open Sans"/>
          <w:sz w:val="20"/>
          <w:szCs w:val="20"/>
        </w:rPr>
        <w:t xml:space="preserve"> du procédé</w:t>
      </w:r>
      <w:r>
        <w:rPr>
          <w:rFonts w:ascii="Open Sans" w:hAnsi="Open Sans" w:cs="Open Sans"/>
          <w:sz w:val="20"/>
          <w:szCs w:val="20"/>
        </w:rPr>
        <w:t>.</w:t>
      </w:r>
    </w:p>
    <w:p w14:paraId="0ADAC61C" w14:textId="77777777" w:rsidR="00612E5E" w:rsidRDefault="00612E5E" w:rsidP="00612E5E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0ADAC61D" w14:textId="3EF102C9" w:rsidR="00612E5E" w:rsidRDefault="00612E5E" w:rsidP="00612E5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FE1B7F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sectPr w:rsidR="00612E5E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9B57" w14:textId="77777777" w:rsidR="00B37189" w:rsidRDefault="00B37189" w:rsidP="006F74A1">
      <w:pPr>
        <w:spacing w:after="0" w:line="240" w:lineRule="auto"/>
      </w:pPr>
      <w:r>
        <w:separator/>
      </w:r>
    </w:p>
  </w:endnote>
  <w:endnote w:type="continuationSeparator" w:id="0">
    <w:p w14:paraId="5806C132" w14:textId="77777777" w:rsidR="00B37189" w:rsidRDefault="00B37189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E5AE9" w14:textId="77777777" w:rsidR="000B6BC8" w:rsidRDefault="000B6B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DAC624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1D4E92">
              <w:rPr>
                <w:rFonts w:ascii="Open Sans" w:hAnsi="Open Sans" w:cs="Open Sans"/>
                <w:b/>
                <w:bCs/>
                <w:noProof/>
                <w:sz w:val="16"/>
              </w:rPr>
              <w:t>1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1D4E92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0ADAC625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20603" w14:textId="77777777" w:rsidR="000B6BC8" w:rsidRDefault="000B6B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FDA64" w14:textId="77777777" w:rsidR="00B37189" w:rsidRDefault="00B37189" w:rsidP="006F74A1">
      <w:pPr>
        <w:spacing w:after="0" w:line="240" w:lineRule="auto"/>
      </w:pPr>
      <w:r>
        <w:separator/>
      </w:r>
    </w:p>
  </w:footnote>
  <w:footnote w:type="continuationSeparator" w:id="0">
    <w:p w14:paraId="01E96EC6" w14:textId="77777777" w:rsidR="00B37189" w:rsidRDefault="00B37189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08027" w14:textId="77777777" w:rsidR="000B6BC8" w:rsidRDefault="000B6B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C622" w14:textId="0132BAAB" w:rsidR="00DD4309" w:rsidRDefault="000B6BC8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22FE201" wp14:editId="37E45D55">
          <wp:simplePos x="0" y="0"/>
          <wp:positionH relativeFrom="margin">
            <wp:align>right</wp:align>
          </wp:positionH>
          <wp:positionV relativeFrom="paragraph">
            <wp:posOffset>-11430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80CA4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71FB09F0" wp14:editId="2526607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DAC623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AE446" w14:textId="77777777" w:rsidR="000B6BC8" w:rsidRDefault="000B6B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3D6C"/>
    <w:multiLevelType w:val="hybridMultilevel"/>
    <w:tmpl w:val="C55AA7D6"/>
    <w:lvl w:ilvl="0" w:tplc="3B72039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C6090"/>
    <w:multiLevelType w:val="hybridMultilevel"/>
    <w:tmpl w:val="38F8D69E"/>
    <w:lvl w:ilvl="0" w:tplc="B75CCAD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1"/>
  </w:num>
  <w:num w:numId="15">
    <w:abstractNumId w:val="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A1"/>
    <w:rsid w:val="00007826"/>
    <w:rsid w:val="000A56A2"/>
    <w:rsid w:val="000B2D36"/>
    <w:rsid w:val="000B6BC8"/>
    <w:rsid w:val="000D5C50"/>
    <w:rsid w:val="001D4E92"/>
    <w:rsid w:val="0028294E"/>
    <w:rsid w:val="002B532B"/>
    <w:rsid w:val="002D35D8"/>
    <w:rsid w:val="002D3B67"/>
    <w:rsid w:val="002E5A3B"/>
    <w:rsid w:val="002F372C"/>
    <w:rsid w:val="003907D5"/>
    <w:rsid w:val="003D4AF6"/>
    <w:rsid w:val="003F3BFB"/>
    <w:rsid w:val="004403CA"/>
    <w:rsid w:val="00442AC7"/>
    <w:rsid w:val="004471E5"/>
    <w:rsid w:val="0045284A"/>
    <w:rsid w:val="004852D4"/>
    <w:rsid w:val="004A48D3"/>
    <w:rsid w:val="004F2FA2"/>
    <w:rsid w:val="004F7513"/>
    <w:rsid w:val="0050233F"/>
    <w:rsid w:val="00502F6F"/>
    <w:rsid w:val="0052264C"/>
    <w:rsid w:val="00546BF6"/>
    <w:rsid w:val="00580CA4"/>
    <w:rsid w:val="005D2181"/>
    <w:rsid w:val="005D33F1"/>
    <w:rsid w:val="005E53A2"/>
    <w:rsid w:val="00612234"/>
    <w:rsid w:val="00612E5E"/>
    <w:rsid w:val="006A39AC"/>
    <w:rsid w:val="006A3D13"/>
    <w:rsid w:val="006E0486"/>
    <w:rsid w:val="006F74A1"/>
    <w:rsid w:val="007139C9"/>
    <w:rsid w:val="007225CB"/>
    <w:rsid w:val="00847124"/>
    <w:rsid w:val="00851BE4"/>
    <w:rsid w:val="00872040"/>
    <w:rsid w:val="00880FE8"/>
    <w:rsid w:val="008B168B"/>
    <w:rsid w:val="009500E7"/>
    <w:rsid w:val="00954AC7"/>
    <w:rsid w:val="00976F55"/>
    <w:rsid w:val="00993FD0"/>
    <w:rsid w:val="009D542A"/>
    <w:rsid w:val="00A04C49"/>
    <w:rsid w:val="00A43337"/>
    <w:rsid w:val="00A818A3"/>
    <w:rsid w:val="00AC18BE"/>
    <w:rsid w:val="00AF75E7"/>
    <w:rsid w:val="00B37189"/>
    <w:rsid w:val="00B3767B"/>
    <w:rsid w:val="00B60CEF"/>
    <w:rsid w:val="00B90839"/>
    <w:rsid w:val="00BA0260"/>
    <w:rsid w:val="00BB364B"/>
    <w:rsid w:val="00BC10F3"/>
    <w:rsid w:val="00C125AD"/>
    <w:rsid w:val="00C148ED"/>
    <w:rsid w:val="00C277BF"/>
    <w:rsid w:val="00C74AB5"/>
    <w:rsid w:val="00C76E7D"/>
    <w:rsid w:val="00C8371B"/>
    <w:rsid w:val="00C83D4A"/>
    <w:rsid w:val="00C96C53"/>
    <w:rsid w:val="00CA36EE"/>
    <w:rsid w:val="00CC4250"/>
    <w:rsid w:val="00CD6310"/>
    <w:rsid w:val="00D30751"/>
    <w:rsid w:val="00D704D5"/>
    <w:rsid w:val="00DA0AED"/>
    <w:rsid w:val="00DD4309"/>
    <w:rsid w:val="00DD5BE7"/>
    <w:rsid w:val="00E22F0A"/>
    <w:rsid w:val="00E82AA2"/>
    <w:rsid w:val="00F209E2"/>
    <w:rsid w:val="00F347EB"/>
    <w:rsid w:val="00F65527"/>
    <w:rsid w:val="00FE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AC5FA"/>
  <w15:docId w15:val="{FCEEBC20-1F83-47A5-8644-D95CF3E4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C93ACE-17FE-47E1-AAAE-F55BFC8C2E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3101AC-D12E-413C-A9C6-44DAEC21B3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753169-EC45-4A68-9D7C-BF89F8311B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708A2-A192-4833-875D-0820B13B7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5</cp:revision>
  <cp:lastPrinted>2016-01-20T08:31:00Z</cp:lastPrinted>
  <dcterms:created xsi:type="dcterms:W3CDTF">2021-11-04T12:51:00Z</dcterms:created>
  <dcterms:modified xsi:type="dcterms:W3CDTF">2022-03-30T13:12:00Z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317000</vt:r8>
  </property>
</Properties>
</file>