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3S :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67D11986"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055DEF">
              <w:rPr>
                <w:rFonts w:ascii="Open Sans" w:hAnsi="Open Sans" w:cs="Open Sans"/>
                <w:b/>
                <w:caps/>
                <w:sz w:val="28"/>
                <w:lang w:val="en-US"/>
              </w:rPr>
              <w:t>HORIZONTALES</w:t>
            </w:r>
            <w:r>
              <w:rPr>
                <w:rFonts w:ascii="Open Sans" w:hAnsi="Open Sans" w:cs="Open Sans"/>
                <w:b/>
                <w:caps/>
                <w:sz w:val="28"/>
                <w:lang w:val="en-US"/>
              </w:rPr>
              <w:t xml:space="preserve"> GAMME </w:t>
            </w:r>
            <w:r w:rsidR="001F504E">
              <w:rPr>
                <w:rFonts w:ascii="Open Sans" w:hAnsi="Open Sans" w:cs="Open Sans"/>
                <w:b/>
                <w:caps/>
                <w:sz w:val="28"/>
                <w:lang w:val="en-US"/>
              </w:rPr>
              <w:t>GLACE</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50699121"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055DEF">
        <w:rPr>
          <w:rFonts w:ascii="Open Sans" w:hAnsi="Open Sans" w:cs="Open Sans"/>
          <w:sz w:val="20"/>
          <w:szCs w:val="20"/>
        </w:rPr>
        <w:t>ATELIERS</w:t>
      </w:r>
      <w:r w:rsidRPr="006E1643">
        <w:rPr>
          <w:rFonts w:ascii="Open Sans" w:hAnsi="Open Sans" w:cs="Open Sans"/>
          <w:sz w:val="20"/>
          <w:szCs w:val="20"/>
        </w:rPr>
        <w:t xml:space="preserve"> 3S Gamme </w:t>
      </w:r>
      <w:r w:rsidR="001F504E">
        <w:rPr>
          <w:rFonts w:ascii="Open Sans" w:hAnsi="Open Sans" w:cs="Open Sans"/>
          <w:sz w:val="20"/>
          <w:szCs w:val="20"/>
        </w:rPr>
        <w:t>GLACE</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1064F6BA" w14:textId="3643EBCF" w:rsidR="00B4183F" w:rsidRDefault="00C148ED" w:rsidP="00B4183F">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B4183F">
        <w:rPr>
          <w:rFonts w:ascii="Open Sans" w:hAnsi="Open Sans" w:cs="Open Sans"/>
          <w:sz w:val="20"/>
          <w:szCs w:val="20"/>
        </w:rPr>
        <w:t xml:space="preserve">ATELIERS 3S </w:t>
      </w:r>
      <w:r w:rsidR="001F504E">
        <w:rPr>
          <w:rFonts w:ascii="Open Sans" w:hAnsi="Open Sans" w:cs="Open Sans"/>
          <w:sz w:val="20"/>
          <w:szCs w:val="20"/>
        </w:rPr>
        <w:t>GLACE</w:t>
      </w:r>
      <w:r w:rsidR="00B4183F">
        <w:rPr>
          <w:rFonts w:ascii="Open Sans" w:hAnsi="Open Sans" w:cs="Open Sans"/>
          <w:sz w:val="20"/>
          <w:szCs w:val="20"/>
        </w:rPr>
        <w:t xml:space="preserve"> :</w:t>
      </w:r>
    </w:p>
    <w:p w14:paraId="0C59F878" w14:textId="0948BC7A" w:rsidR="00B4183F" w:rsidRPr="0094742A" w:rsidRDefault="001F504E" w:rsidP="00B4183F">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PISSAILS 1000</w:t>
      </w:r>
    </w:p>
    <w:p w14:paraId="729DBE3A" w14:textId="270FBFB7" w:rsidR="00B4183F" w:rsidRPr="0094742A" w:rsidRDefault="00B4183F" w:rsidP="00B4183F">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1F504E">
        <w:rPr>
          <w:rFonts w:ascii="Open Sans" w:hAnsi="Open Sans" w:cs="Open Sans"/>
          <w:sz w:val="20"/>
          <w:szCs w:val="20"/>
          <w:highlight w:val="lightGray"/>
        </w:rPr>
        <w:t>BOSSONS 900</w:t>
      </w:r>
    </w:p>
    <w:p w14:paraId="28979E79" w14:textId="40E3B0DA" w:rsidR="00B4183F" w:rsidRDefault="00B4183F" w:rsidP="00B4183F">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1F504E" w:rsidRPr="001F504E">
        <w:rPr>
          <w:rFonts w:ascii="Open Sans" w:hAnsi="Open Sans" w:cs="Open Sans"/>
          <w:sz w:val="20"/>
          <w:szCs w:val="20"/>
          <w:highlight w:val="lightGray"/>
        </w:rPr>
        <w:t>JORASSES 900</w:t>
      </w:r>
    </w:p>
    <w:p w14:paraId="5BA754E8" w14:textId="3FCD2574" w:rsidR="00B4183F" w:rsidRPr="004B63DD" w:rsidRDefault="00B4183F" w:rsidP="00B4183F">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sidR="001F504E">
        <w:rPr>
          <w:rFonts w:ascii="Open Sans" w:hAnsi="Open Sans" w:cs="Open Sans"/>
          <w:sz w:val="20"/>
          <w:szCs w:val="20"/>
        </w:rPr>
        <w:t>900</w:t>
      </w:r>
      <w:r w:rsidRPr="004B63DD">
        <w:rPr>
          <w:rFonts w:ascii="Open Sans" w:hAnsi="Open Sans" w:cs="Open Sans"/>
          <w:sz w:val="20"/>
          <w:szCs w:val="20"/>
        </w:rPr>
        <w:t xml:space="preserve"> ou </w:t>
      </w:r>
      <w:r w:rsidR="001F504E">
        <w:rPr>
          <w:rFonts w:ascii="Open Sans" w:hAnsi="Open Sans" w:cs="Open Sans"/>
          <w:sz w:val="20"/>
          <w:szCs w:val="20"/>
        </w:rPr>
        <w:t>1000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D713707" w14:textId="24A3C381" w:rsidR="00B4183F" w:rsidRDefault="00B4183F" w:rsidP="00B4183F">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346768">
        <w:rPr>
          <w:rFonts w:ascii="Open Sans" w:hAnsi="Open Sans" w:cs="Open Sans"/>
          <w:sz w:val="20"/>
          <w:szCs w:val="20"/>
          <w:highlight w:val="lightGray"/>
        </w:rPr>
        <w:t>, INTENSE GOLD</w:t>
      </w:r>
      <w:r>
        <w:rPr>
          <w:rFonts w:ascii="Open Sans" w:hAnsi="Open Sans" w:cs="Open Sans"/>
          <w:sz w:val="20"/>
          <w:szCs w:val="20"/>
          <w:highlight w:val="lightGray"/>
        </w:rPr>
        <w:t xml:space="preserve"> ou RAL 5008 OCEAN</w:t>
      </w:r>
    </w:p>
    <w:p w14:paraId="3B58CCDA" w14:textId="77777777" w:rsidR="00B4183F" w:rsidRDefault="00B4183F" w:rsidP="00B4183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58B7A1B5" w14:textId="0C21C72F" w:rsidR="00B4183F" w:rsidRDefault="00B4183F" w:rsidP="00B4183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17C386C8" w14:textId="77777777" w:rsidR="00B4183F" w:rsidRDefault="00B4183F" w:rsidP="00B4183F">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43165AF5" w14:textId="57E31452" w:rsidR="00B4183F" w:rsidRPr="004B63DD" w:rsidRDefault="00B4183F" w:rsidP="00B4183F">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w:t>
      </w:r>
      <w:r w:rsidR="00804203">
        <w:rPr>
          <w:rFonts w:ascii="Open Sans" w:hAnsi="Open Sans" w:cs="Open Sans"/>
          <w:sz w:val="20"/>
          <w:szCs w:val="20"/>
        </w:rPr>
        <w:t>horizontalement</w:t>
      </w:r>
      <w:r w:rsidRPr="004B63DD">
        <w:rPr>
          <w:rFonts w:ascii="Open Sans" w:hAnsi="Open Sans" w:cs="Open Sans"/>
          <w:sz w:val="20"/>
          <w:szCs w:val="20"/>
        </w:rPr>
        <w:t xml:space="preserve">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w:t>
      </w:r>
      <w:r w:rsidR="00804203">
        <w:rPr>
          <w:rFonts w:ascii="Open Sans" w:hAnsi="Open Sans" w:cs="Open Sans"/>
          <w:sz w:val="20"/>
          <w:szCs w:val="20"/>
        </w:rPr>
        <w:t xml:space="preserve"> bois 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46101BC3"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1F504E">
        <w:rPr>
          <w:rFonts w:ascii="Open Sans" w:hAnsi="Open Sans" w:cs="Open Sans"/>
          <w:sz w:val="20"/>
          <w:szCs w:val="20"/>
        </w:rPr>
        <w:t>GLACE</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07F60786"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bois</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w:t>
      </w:r>
      <w:r w:rsidRPr="006E1643">
        <w:rPr>
          <w:rFonts w:ascii="Open Sans" w:hAnsi="Open Sans" w:cs="Open Sans"/>
          <w:sz w:val="20"/>
          <w:szCs w:val="20"/>
          <w:highlight w:val="lightGray"/>
        </w:rPr>
        <w:t>…)</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2F5481BF"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31FD858B" w14:textId="24F8D3AB" w:rsidR="00B53924" w:rsidRDefault="00C148ED" w:rsidP="00B53924">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B53924">
        <w:rPr>
          <w:rFonts w:ascii="Open Sans" w:hAnsi="Open Sans" w:cs="Open Sans"/>
          <w:sz w:val="20"/>
          <w:szCs w:val="20"/>
        </w:rPr>
        <w:t xml:space="preserve">ATELIERS 3S </w:t>
      </w:r>
      <w:r w:rsidR="001F504E">
        <w:rPr>
          <w:rFonts w:ascii="Open Sans" w:hAnsi="Open Sans" w:cs="Open Sans"/>
          <w:sz w:val="20"/>
          <w:szCs w:val="20"/>
        </w:rPr>
        <w:t>GLACE</w:t>
      </w:r>
      <w:r w:rsidR="00B53924">
        <w:rPr>
          <w:rFonts w:ascii="Open Sans" w:hAnsi="Open Sans" w:cs="Open Sans"/>
          <w:sz w:val="20"/>
          <w:szCs w:val="20"/>
        </w:rPr>
        <w:t xml:space="preserve"> :</w:t>
      </w:r>
    </w:p>
    <w:p w14:paraId="65F8E3D6" w14:textId="7D0579D7" w:rsidR="00B53924" w:rsidRPr="0094742A" w:rsidRDefault="001F504E" w:rsidP="00B5392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PISSAILLAS 1000</w:t>
      </w:r>
    </w:p>
    <w:p w14:paraId="18496761" w14:textId="7D545F5B" w:rsidR="00B53924" w:rsidRPr="0094742A" w:rsidRDefault="00B53924" w:rsidP="00B53924">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1F504E">
        <w:rPr>
          <w:rFonts w:ascii="Open Sans" w:hAnsi="Open Sans" w:cs="Open Sans"/>
          <w:sz w:val="20"/>
          <w:szCs w:val="20"/>
          <w:highlight w:val="lightGray"/>
        </w:rPr>
        <w:t>BOSSONS 900</w:t>
      </w:r>
    </w:p>
    <w:p w14:paraId="530FB786" w14:textId="22B4122D" w:rsidR="00B53924" w:rsidRDefault="00B53924" w:rsidP="00B53924">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1F504E" w:rsidRPr="001F504E">
        <w:rPr>
          <w:rFonts w:ascii="Open Sans" w:hAnsi="Open Sans" w:cs="Open Sans"/>
          <w:sz w:val="20"/>
          <w:szCs w:val="20"/>
          <w:highlight w:val="lightGray"/>
        </w:rPr>
        <w:t>JORASSES 900</w:t>
      </w:r>
    </w:p>
    <w:p w14:paraId="1D006DDE" w14:textId="17E68EFF" w:rsidR="00B53924" w:rsidRPr="004B63DD" w:rsidRDefault="00B53924" w:rsidP="00B53924">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sidR="001F504E">
        <w:rPr>
          <w:rFonts w:ascii="Open Sans" w:hAnsi="Open Sans" w:cs="Open Sans"/>
          <w:sz w:val="20"/>
          <w:szCs w:val="20"/>
        </w:rPr>
        <w:t>900</w:t>
      </w:r>
      <w:r w:rsidRPr="004B63DD">
        <w:rPr>
          <w:rFonts w:ascii="Open Sans" w:hAnsi="Open Sans" w:cs="Open Sans"/>
          <w:sz w:val="20"/>
          <w:szCs w:val="20"/>
        </w:rPr>
        <w:t xml:space="preserve"> ou </w:t>
      </w:r>
      <w:r w:rsidR="001F504E">
        <w:rPr>
          <w:rFonts w:ascii="Open Sans" w:hAnsi="Open Sans" w:cs="Open Sans"/>
          <w:sz w:val="20"/>
          <w:szCs w:val="20"/>
        </w:rPr>
        <w:t>1000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4839D7D" w14:textId="468DA998" w:rsidR="00B53924" w:rsidRDefault="00B53924" w:rsidP="00B5392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lastRenderedPageBreak/>
        <w:t>prélaquage bi-face 35µm 3S-HDuo haute durabilité de coloris 0201 COTON, 0202 DUVET, 0203 POUDRE, 0204 POP, 0205 SPRING, 0206 PLATINUM, 0207 METAL, 0208 PEARL, RAL 7022 COQUILLE</w:t>
      </w:r>
      <w:r w:rsidR="00346768">
        <w:rPr>
          <w:rFonts w:ascii="Open Sans" w:hAnsi="Open Sans" w:cs="Open Sans"/>
          <w:sz w:val="20"/>
          <w:szCs w:val="20"/>
          <w:highlight w:val="lightGray"/>
        </w:rPr>
        <w:t>, INTENSE GOLD</w:t>
      </w:r>
      <w:r>
        <w:rPr>
          <w:rFonts w:ascii="Open Sans" w:hAnsi="Open Sans" w:cs="Open Sans"/>
          <w:sz w:val="20"/>
          <w:szCs w:val="20"/>
          <w:highlight w:val="lightGray"/>
        </w:rPr>
        <w:t xml:space="preserve"> ou RAL 5008 OCEAN</w:t>
      </w:r>
    </w:p>
    <w:p w14:paraId="383D94F5" w14:textId="77777777" w:rsidR="00B53924" w:rsidRDefault="00B53924" w:rsidP="00B539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2D885EF6" w14:textId="36B78AC0" w:rsidR="00B53924" w:rsidRDefault="00B53924" w:rsidP="00B539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63AFC2AE" w14:textId="77777777" w:rsidR="00B53924" w:rsidRDefault="00B53924" w:rsidP="00B53924">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2926B54A" w14:textId="538E2024" w:rsidR="00546BF6" w:rsidRPr="006E1643" w:rsidRDefault="00B53924" w:rsidP="00B53924">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w:t>
      </w:r>
      <w:r w:rsidR="004D10CD">
        <w:rPr>
          <w:rFonts w:ascii="Open Sans" w:hAnsi="Open Sans" w:cs="Open Sans"/>
          <w:sz w:val="20"/>
          <w:szCs w:val="20"/>
        </w:rPr>
        <w:t>horizontalement</w:t>
      </w:r>
      <w:r w:rsidRPr="004B63DD">
        <w:rPr>
          <w:rFonts w:ascii="Open Sans" w:hAnsi="Open Sans" w:cs="Open Sans"/>
          <w:sz w:val="20"/>
          <w:szCs w:val="20"/>
        </w:rPr>
        <w:t xml:space="preserve"> </w:t>
      </w:r>
      <w:r w:rsidR="00546BF6" w:rsidRPr="006E1643">
        <w:rPr>
          <w:rFonts w:ascii="Open Sans" w:hAnsi="Open Sans" w:cs="Open Sans"/>
          <w:sz w:val="20"/>
          <w:szCs w:val="20"/>
        </w:rPr>
        <w:t>selon les règles RAGE pour la conception et la mise en œuvre du bardage métallique en acier et acier inoxydable, juillet 2014.</w:t>
      </w:r>
    </w:p>
    <w:p w14:paraId="2926B54B" w14:textId="64409F04" w:rsidR="00546BF6" w:rsidRPr="006E1643"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C" w14:textId="77777777" w:rsidR="00546BF6" w:rsidRPr="006E1643" w:rsidRDefault="00546BF6" w:rsidP="00546BF6">
      <w:pPr>
        <w:pStyle w:val="Sansinterligne"/>
        <w:jc w:val="both"/>
        <w:rPr>
          <w:rFonts w:ascii="Open Sans" w:hAnsi="Open Sans" w:cs="Open Sans"/>
        </w:rPr>
      </w:pPr>
    </w:p>
    <w:p w14:paraId="2926B54D" w14:textId="62541B53" w:rsidR="00546BF6" w:rsidRPr="006E1643" w:rsidRDefault="00546BF6" w:rsidP="00546BF6">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B666E8">
        <w:rPr>
          <w:rFonts w:ascii="Open Sans" w:hAnsi="Open Sans" w:cs="Open Sans"/>
          <w:sz w:val="20"/>
        </w:rPr>
        <w:t>ATELIERS</w:t>
      </w:r>
      <w:r w:rsidRPr="006E1643">
        <w:rPr>
          <w:rFonts w:ascii="Open Sans" w:hAnsi="Open Sans" w:cs="Open Sans"/>
          <w:sz w:val="20"/>
        </w:rPr>
        <w:t xml:space="preserve"> 3S Gamme </w:t>
      </w:r>
      <w:r w:rsidR="001F504E">
        <w:rPr>
          <w:rFonts w:ascii="Open Sans" w:hAnsi="Open Sans" w:cs="Open Sans"/>
          <w:sz w:val="20"/>
        </w:rPr>
        <w:t>GLACE</w:t>
      </w:r>
      <w:r>
        <w:rPr>
          <w:rFonts w:ascii="Open Sans" w:hAnsi="Open Sans" w:cs="Open Sans"/>
          <w:sz w:val="20"/>
        </w:rPr>
        <w:t>,</w:t>
      </w:r>
      <w:r w:rsidRPr="006E1643">
        <w:rPr>
          <w:rFonts w:ascii="Open Sans" w:hAnsi="Open Sans" w:cs="Open Sans"/>
          <w:sz w:val="20"/>
        </w:rPr>
        <w:t xml:space="preserve"> 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sidR="008D061A">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2926B54E" w14:textId="77777777" w:rsidR="00546BF6" w:rsidRPr="00724F10" w:rsidRDefault="00546BF6" w:rsidP="00546BF6">
      <w:pPr>
        <w:pStyle w:val="Sansinterligne"/>
        <w:jc w:val="both"/>
        <w:rPr>
          <w:rFonts w:ascii="Open Sans" w:hAnsi="Open Sans" w:cs="Open Sans"/>
        </w:rPr>
      </w:pP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554" w14:textId="4B01603F" w:rsidR="00DD4309" w:rsidRDefault="00FA15E8" w:rsidP="00C96C53">
    <w:pPr>
      <w:pStyle w:val="En-tte"/>
      <w:ind w:left="708"/>
      <w:rPr>
        <w:noProof/>
        <w:lang w:eastAsia="fr-FR"/>
      </w:rPr>
    </w:pPr>
    <w:r>
      <w:rPr>
        <w:noProof/>
      </w:rPr>
      <w:drawing>
        <wp:anchor distT="0" distB="0" distL="114300" distR="114300" simplePos="0" relativeHeight="251660288" behindDoc="0" locked="0" layoutInCell="1" allowOverlap="1" wp14:anchorId="0ED63AD7" wp14:editId="4890A0AD">
          <wp:simplePos x="0" y="0"/>
          <wp:positionH relativeFrom="column">
            <wp:posOffset>4921811</wp:posOffset>
          </wp:positionH>
          <wp:positionV relativeFrom="paragraph">
            <wp:posOffset>7620</wp:posOffset>
          </wp:positionV>
          <wp:extent cx="691663" cy="471170"/>
          <wp:effectExtent l="0" t="0" r="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91663" cy="471170"/>
                  </a:xfrm>
                  <a:prstGeom prst="rect">
                    <a:avLst/>
                  </a:prstGeom>
                </pic:spPr>
              </pic:pic>
            </a:graphicData>
          </a:graphic>
          <wp14:sizeRelH relativeFrom="margin">
            <wp14:pctWidth>0</wp14:pctWidth>
          </wp14:sizeRelH>
        </wp:anchor>
      </w:drawing>
    </w:r>
    <w:r w:rsidR="00BF38F4">
      <w:rPr>
        <w:noProof/>
        <w:lang w:eastAsia="fr-FR"/>
      </w:rPr>
      <w:drawing>
        <wp:anchor distT="0" distB="0" distL="114300" distR="114300" simplePos="0" relativeHeight="251658240" behindDoc="1" locked="0" layoutInCell="1" allowOverlap="1" wp14:anchorId="248405DB" wp14:editId="77E165B1">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59098993">
    <w:abstractNumId w:val="8"/>
  </w:num>
  <w:num w:numId="2" w16cid:durableId="670762531">
    <w:abstractNumId w:val="4"/>
  </w:num>
  <w:num w:numId="3" w16cid:durableId="1865552783">
    <w:abstractNumId w:val="9"/>
  </w:num>
  <w:num w:numId="4" w16cid:durableId="313066524">
    <w:abstractNumId w:val="3"/>
  </w:num>
  <w:num w:numId="5" w16cid:durableId="116023789">
    <w:abstractNumId w:val="5"/>
  </w:num>
  <w:num w:numId="6" w16cid:durableId="8601155">
    <w:abstractNumId w:val="7"/>
  </w:num>
  <w:num w:numId="7" w16cid:durableId="19530498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2269574">
    <w:abstractNumId w:val="5"/>
  </w:num>
  <w:num w:numId="9" w16cid:durableId="323552203">
    <w:abstractNumId w:val="1"/>
  </w:num>
  <w:num w:numId="10" w16cid:durableId="1169099949">
    <w:abstractNumId w:val="6"/>
  </w:num>
  <w:num w:numId="11" w16cid:durableId="1030492459">
    <w:abstractNumId w:val="2"/>
  </w:num>
  <w:num w:numId="12" w16cid:durableId="1355225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55DEF"/>
    <w:rsid w:val="000A56A2"/>
    <w:rsid w:val="000B2D36"/>
    <w:rsid w:val="000D5C50"/>
    <w:rsid w:val="001F504E"/>
    <w:rsid w:val="002D35D8"/>
    <w:rsid w:val="002D3B67"/>
    <w:rsid w:val="002E5A3B"/>
    <w:rsid w:val="003069BC"/>
    <w:rsid w:val="00346768"/>
    <w:rsid w:val="00364E88"/>
    <w:rsid w:val="003907D5"/>
    <w:rsid w:val="003F3BFB"/>
    <w:rsid w:val="0040206E"/>
    <w:rsid w:val="004026C7"/>
    <w:rsid w:val="004852D4"/>
    <w:rsid w:val="004A48D3"/>
    <w:rsid w:val="004D10CD"/>
    <w:rsid w:val="004F2FA2"/>
    <w:rsid w:val="004F7513"/>
    <w:rsid w:val="0050233F"/>
    <w:rsid w:val="00502F6F"/>
    <w:rsid w:val="0052264C"/>
    <w:rsid w:val="00546BF6"/>
    <w:rsid w:val="00551FAF"/>
    <w:rsid w:val="0057736A"/>
    <w:rsid w:val="005D2181"/>
    <w:rsid w:val="005E53A2"/>
    <w:rsid w:val="00612234"/>
    <w:rsid w:val="006823CE"/>
    <w:rsid w:val="00690877"/>
    <w:rsid w:val="006A39AC"/>
    <w:rsid w:val="006D4FB8"/>
    <w:rsid w:val="006E0486"/>
    <w:rsid w:val="006F74A1"/>
    <w:rsid w:val="007139C9"/>
    <w:rsid w:val="007225CB"/>
    <w:rsid w:val="00804203"/>
    <w:rsid w:val="00851BE4"/>
    <w:rsid w:val="00872040"/>
    <w:rsid w:val="008B168B"/>
    <w:rsid w:val="008D061A"/>
    <w:rsid w:val="0090731F"/>
    <w:rsid w:val="009D542A"/>
    <w:rsid w:val="00A04C49"/>
    <w:rsid w:val="00A36996"/>
    <w:rsid w:val="00A43337"/>
    <w:rsid w:val="00A818A3"/>
    <w:rsid w:val="00A82484"/>
    <w:rsid w:val="00AF75E7"/>
    <w:rsid w:val="00B3767B"/>
    <w:rsid w:val="00B4183F"/>
    <w:rsid w:val="00B53924"/>
    <w:rsid w:val="00B60CEF"/>
    <w:rsid w:val="00B666E8"/>
    <w:rsid w:val="00BC10F3"/>
    <w:rsid w:val="00BF38F4"/>
    <w:rsid w:val="00C125AD"/>
    <w:rsid w:val="00C148ED"/>
    <w:rsid w:val="00C74AB5"/>
    <w:rsid w:val="00C76E7D"/>
    <w:rsid w:val="00C92D77"/>
    <w:rsid w:val="00C96C53"/>
    <w:rsid w:val="00CA36EE"/>
    <w:rsid w:val="00CC4250"/>
    <w:rsid w:val="00D30751"/>
    <w:rsid w:val="00DA365C"/>
    <w:rsid w:val="00DD4309"/>
    <w:rsid w:val="00DD5BE7"/>
    <w:rsid w:val="00E82AA2"/>
    <w:rsid w:val="00F209E2"/>
    <w:rsid w:val="00F65527"/>
    <w:rsid w:val="00FA15E8"/>
    <w:rsid w:val="00FA65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6" ma:contentTypeDescription="Crée un document." ma:contentTypeScope="" ma:versionID="9bb33f5f0fce42f711882afb3fd385e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45fbbab3bd6ffb9747df1dddf2c07de"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F2E46D-08AD-4AC4-8F05-EA1FA5D3ACAB}"/>
</file>

<file path=customXml/itemProps2.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3.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C1BF10-7F9F-4D28-A529-CEF9C121BE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450</Words>
  <Characters>2478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31</cp:revision>
  <cp:lastPrinted>2016-01-20T08:27:00Z</cp:lastPrinted>
  <dcterms:created xsi:type="dcterms:W3CDTF">2016-01-20T07:39:00Z</dcterms:created>
  <dcterms:modified xsi:type="dcterms:W3CDTF">2022-10-25T08:38:00Z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ies>
</file>